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Median nerve hydrodissection at carpal tunnel - ultrasound-guided</w:t>
      </w:r>
    </w:p>
    <w:p>
      <w:r>
        <w:t>Form ID: median_nerve_hydrodissection_us</w:t>
      </w:r>
    </w:p>
    <w:p>
      <w:r>
        <w:t>Type: Procedure</w:t>
      </w:r>
    </w:p>
    <w:p>
      <w:r>
        <w:t>Family: Hydrodissection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Intraneural injection avoided / nerve integrity</w:t>
            </w:r>
          </w:p>
        </w:tc>
        <w:tc>
          <w:tcPr>
            <w:tcW w:type="dxa" w:w="1728"/>
          </w:tcPr>
          <w:p>
            <w:r>
              <w:t>nerve_integrity_check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Hydrodissection/perineural spread plane</w:t>
            </w:r>
          </w:p>
        </w:tc>
        <w:tc>
          <w:tcPr>
            <w:tcW w:type="dxa" w:w="1728"/>
          </w:tcPr>
          <w:p>
            <w:r>
              <w:t>hydrodissection_plane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Median nerve hydrodissection at carpal tunnel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 with a {{transducer}}, the median nerve, flexor tendons, and vascular structures were identified. A {{needle}} was advanced via {{approach}} to {{target}}.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