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Stellate ganglion block - ultrasound-guided</w:t>
      </w:r>
    </w:p>
    <w:p>
      <w:r>
        <w:t>Form ID: stellate_ganglion_block_us</w:t>
      </w:r>
    </w:p>
    <w:p>
      <w:r>
        <w:t>Type: Procedure</w:t>
      </w:r>
    </w:p>
    <w:p>
      <w:r>
        <w:t>Family: Sympathetic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Incremental injection and aspiration checks</w:t>
            </w:r>
          </w:p>
        </w:tc>
        <w:tc>
          <w:tcPr>
            <w:tcW w:type="dxa" w:w="1728"/>
          </w:tcPr>
          <w:p>
            <w:r>
              <w:t>aspiration_incremental_injection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Signs of sympathetic block</w:t>
            </w:r>
          </w:p>
        </w:tc>
        <w:tc>
          <w:tcPr>
            <w:tcW w:type="dxa" w:w="1728"/>
          </w:tcPr>
          <w:p>
            <w:r>
              <w:t>sympathetic_block_signs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Stellate ganglion block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carotid artery, internal jugular vein, thyroid, longus colli, and surrounding structures were identified. A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